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lang w:eastAsia="zh-CN"/>
        </w:rPr>
        <w:t>政协北京市大兴区委员会</w:t>
      </w:r>
      <w:bookmarkStart w:id="0" w:name="_GoBack"/>
      <w:bookmarkEnd w:id="0"/>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一、部门基本情况</w:t>
      </w:r>
    </w:p>
    <w:p>
      <w:pPr>
        <w:spacing w:line="620" w:lineRule="exact"/>
        <w:ind w:firstLine="560" w:firstLineChars="200"/>
        <w:rPr>
          <w:rFonts w:hint="eastAsia" w:ascii="仿宋_GB2312" w:eastAsia="仿宋_GB2312"/>
          <w:sz w:val="28"/>
          <w:szCs w:val="28"/>
        </w:rPr>
      </w:pPr>
      <w:r>
        <w:rPr>
          <w:rFonts w:hint="eastAsia" w:ascii="仿宋_GB2312" w:eastAsia="仿宋_GB2312"/>
          <w:sz w:val="28"/>
          <w:szCs w:val="28"/>
        </w:rPr>
        <w:t>根据中国人民政治协商会议章程规定“中国人民政治协商会议全国委员会和地方委员会的主要职能是政治协商和民主监督，组织参加本会的各党派、团体和各族各界人士参政议政”。 本部门无行政事业性收费重点项目。</w:t>
      </w:r>
    </w:p>
    <w:p>
      <w:pPr>
        <w:spacing w:line="620" w:lineRule="exact"/>
        <w:ind w:firstLine="560" w:firstLineChars="200"/>
        <w:jc w:val="left"/>
        <w:rPr>
          <w:rFonts w:ascii="仿宋_GB2312" w:hAnsi="Tahoma" w:eastAsia="仿宋_GB2312" w:cs="Tahoma"/>
          <w:color w:val="000000"/>
          <w:sz w:val="28"/>
          <w:szCs w:val="28"/>
        </w:rPr>
      </w:pPr>
      <w:r>
        <w:rPr>
          <w:rFonts w:hint="eastAsia" w:ascii="仿宋_GB2312" w:eastAsia="仿宋_GB2312"/>
          <w:color w:val="000000"/>
          <w:sz w:val="28"/>
          <w:szCs w:val="28"/>
        </w:rPr>
        <w:t>中国人民政治协商会议北京市大兴区委员会为行政单位，共设有8个委室，分别为办公室(</w:t>
      </w:r>
      <w:r>
        <w:rPr>
          <w:rFonts w:hint="eastAsia" w:ascii="仿宋_GB2312" w:hAnsi="Tahoma" w:eastAsia="仿宋_GB2312" w:cs="Tahoma"/>
          <w:color w:val="000000"/>
          <w:sz w:val="28"/>
          <w:szCs w:val="28"/>
        </w:rPr>
        <w:t>下设老干部科、秘书科)</w:t>
      </w:r>
      <w:r>
        <w:rPr>
          <w:rFonts w:hint="eastAsia" w:ascii="仿宋_GB2312" w:eastAsia="仿宋_GB2312"/>
          <w:color w:val="000000"/>
          <w:sz w:val="28"/>
          <w:szCs w:val="28"/>
        </w:rPr>
        <w:t>、研究室、专委会工作一室、专委会工作二室、专委会工作三室、专委会工作四室、专委会工作五室、专委会工作六室。</w:t>
      </w:r>
      <w:r>
        <w:rPr>
          <w:rFonts w:hint="eastAsia" w:ascii="仿宋_GB2312" w:hAnsi="Tahoma" w:eastAsia="仿宋_GB2312" w:cs="Tahoma"/>
          <w:color w:val="000000"/>
          <w:sz w:val="28"/>
          <w:szCs w:val="28"/>
        </w:rPr>
        <w:t>北京市大兴区政协委员服务中心为政协办公室下属正科级全额拨款事业单位。</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2610.75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123.39</w:t>
      </w:r>
      <w:r>
        <w:rPr>
          <w:rFonts w:hint="eastAsia" w:ascii="仿宋_GB2312" w:eastAsia="仿宋_GB2312"/>
          <w:sz w:val="28"/>
          <w:szCs w:val="28"/>
        </w:rPr>
        <w:t>万元，增长</w:t>
      </w:r>
      <w:r>
        <w:rPr>
          <w:rFonts w:hint="eastAsia" w:ascii="仿宋_GB2312" w:eastAsia="仿宋_GB2312"/>
          <w:sz w:val="28"/>
          <w:szCs w:val="28"/>
          <w:lang w:val="en-US" w:eastAsia="zh-CN"/>
        </w:rPr>
        <w:t>4.96</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2501.91</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14.55</w:t>
      </w:r>
      <w:r>
        <w:rPr>
          <w:rFonts w:hint="eastAsia" w:ascii="仿宋_GB2312" w:eastAsia="仿宋_GB2312"/>
          <w:sz w:val="28"/>
          <w:szCs w:val="28"/>
        </w:rPr>
        <w:t>万元，增长</w:t>
      </w:r>
      <w:r>
        <w:rPr>
          <w:rFonts w:hint="eastAsia" w:ascii="仿宋_GB2312" w:eastAsia="仿宋_GB2312"/>
          <w:sz w:val="28"/>
          <w:szCs w:val="28"/>
          <w:lang w:val="en-US" w:eastAsia="zh-CN"/>
        </w:rPr>
        <w:t>0.58</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2501.31</w:t>
      </w:r>
      <w:r>
        <w:rPr>
          <w:rFonts w:hint="eastAsia" w:ascii="仿宋_GB2312" w:eastAsia="仿宋_GB2312"/>
          <w:sz w:val="28"/>
          <w:szCs w:val="28"/>
        </w:rPr>
        <w:t>万元，占收入合计的</w:t>
      </w:r>
      <w:r>
        <w:rPr>
          <w:rFonts w:hint="eastAsia" w:ascii="仿宋_GB2312" w:eastAsia="仿宋_GB2312"/>
          <w:sz w:val="28"/>
          <w:szCs w:val="28"/>
          <w:lang w:eastAsia="zh-CN"/>
        </w:rPr>
        <w:t>99.98%。</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2501.31</w:t>
      </w:r>
      <w:r>
        <w:rPr>
          <w:rFonts w:hint="eastAsia" w:ascii="仿宋_GB2312" w:eastAsia="仿宋_GB2312"/>
          <w:sz w:val="28"/>
          <w:szCs w:val="28"/>
        </w:rPr>
        <w:t>万元，占收入合计的</w:t>
      </w:r>
      <w:r>
        <w:rPr>
          <w:rFonts w:hint="eastAsia" w:ascii="仿宋_GB2312" w:eastAsia="仿宋_GB2312"/>
          <w:sz w:val="28"/>
          <w:szCs w:val="28"/>
          <w:lang w:eastAsia="zh-CN"/>
        </w:rPr>
        <w:t>99.98</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0.6</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0.02</w:t>
      </w:r>
      <w:r>
        <w:rPr>
          <w:rFonts w:hint="eastAsia" w:ascii="仿宋_GB2312" w:eastAsia="仿宋_GB2312"/>
          <w:sz w:val="28"/>
          <w:szCs w:val="28"/>
          <w:highlight w:val="none"/>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4"/>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cs="Droid Sans"/>
          <w:color w:val="000000"/>
          <w:sz w:val="32"/>
          <w:szCs w:val="32"/>
          <w:highlight w:val="none"/>
          <w:lang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2609.76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122.4</w:t>
      </w:r>
      <w:r>
        <w:rPr>
          <w:rFonts w:hint="eastAsia" w:ascii="仿宋_GB2312" w:eastAsia="仿宋_GB2312"/>
          <w:sz w:val="28"/>
          <w:szCs w:val="28"/>
        </w:rPr>
        <w:t>万元，增长</w:t>
      </w:r>
      <w:r>
        <w:rPr>
          <w:rFonts w:hint="eastAsia" w:ascii="仿宋_GB2312" w:eastAsia="仿宋_GB2312"/>
          <w:sz w:val="28"/>
          <w:szCs w:val="28"/>
          <w:lang w:val="en-US" w:eastAsia="zh-CN"/>
        </w:rPr>
        <w:t>4.92</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2068.94</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79.28</w:t>
      </w:r>
      <w:r>
        <w:rPr>
          <w:rFonts w:hint="eastAsia" w:ascii="仿宋_GB2312" w:eastAsia="仿宋_GB2312"/>
          <w:sz w:val="28"/>
          <w:szCs w:val="28"/>
          <w:highlight w:val="none"/>
        </w:rPr>
        <w:t>%；项目支出</w:t>
      </w:r>
      <w:r>
        <w:rPr>
          <w:rFonts w:ascii="仿宋_GB2312" w:eastAsia="仿宋_GB2312"/>
          <w:sz w:val="28"/>
          <w:szCs w:val="28"/>
          <w:highlight w:val="none"/>
        </w:rPr>
        <w:t>540.82</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20.72</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2602.81</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115.45</w:t>
      </w:r>
      <w:r>
        <w:rPr>
          <w:rFonts w:hint="eastAsia" w:ascii="仿宋_GB2312" w:eastAsia="仿宋_GB2312"/>
          <w:sz w:val="28"/>
          <w:szCs w:val="28"/>
        </w:rPr>
        <w:t>万元，增长</w:t>
      </w:r>
      <w:r>
        <w:rPr>
          <w:rFonts w:hint="eastAsia" w:ascii="仿宋_GB2312" w:eastAsia="仿宋_GB2312"/>
          <w:sz w:val="28"/>
          <w:szCs w:val="28"/>
          <w:lang w:val="en-US" w:eastAsia="zh-CN"/>
        </w:rPr>
        <w:t>4.64</w:t>
      </w:r>
      <w:r>
        <w:rPr>
          <w:rFonts w:hint="eastAsia" w:ascii="仿宋_GB2312" w:eastAsia="仿宋_GB2312"/>
          <w:sz w:val="28"/>
          <w:szCs w:val="28"/>
        </w:rPr>
        <w:t>%。主要原因：</w:t>
      </w:r>
      <w:r>
        <w:rPr>
          <w:rFonts w:hint="eastAsia" w:ascii="仿宋_GB2312" w:eastAsia="仿宋_GB2312"/>
          <w:sz w:val="28"/>
          <w:szCs w:val="28"/>
          <w:lang w:eastAsia="zh-CN"/>
        </w:rPr>
        <w:t>一、本年发放一次性房补</w:t>
      </w:r>
      <w:r>
        <w:rPr>
          <w:rFonts w:hint="eastAsia" w:ascii="仿宋_GB2312" w:eastAsia="仿宋_GB2312"/>
          <w:sz w:val="28"/>
          <w:szCs w:val="28"/>
        </w:rPr>
        <w:t>。</w:t>
      </w:r>
      <w:r>
        <w:rPr>
          <w:rFonts w:hint="eastAsia" w:ascii="仿宋_GB2312" w:eastAsia="仿宋_GB2312"/>
          <w:sz w:val="28"/>
          <w:szCs w:val="28"/>
          <w:lang w:eastAsia="zh-CN"/>
        </w:rPr>
        <w:t>二、上年受疫情影响的会议、培训等项目本年正常开展</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2602.81</w:t>
      </w:r>
      <w:r>
        <w:rPr>
          <w:rFonts w:hint="eastAsia" w:ascii="仿宋_GB2312" w:eastAsia="仿宋_GB2312"/>
          <w:sz w:val="28"/>
          <w:szCs w:val="28"/>
        </w:rPr>
        <w:t>万元，主要用于以下方面（按大类）：一般公共服务支出</w:t>
      </w:r>
      <w:r>
        <w:rPr>
          <w:rFonts w:hint="eastAsia" w:ascii="仿宋_GB2312" w:eastAsia="仿宋_GB2312"/>
          <w:sz w:val="28"/>
          <w:szCs w:val="28"/>
          <w:lang w:val="en-US" w:eastAsia="zh-CN"/>
        </w:rPr>
        <w:t>2072.81</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79.64</w:t>
      </w:r>
      <w:r>
        <w:rPr>
          <w:rFonts w:hint="eastAsia" w:ascii="仿宋_GB2312" w:eastAsia="仿宋_GB2312"/>
          <w:sz w:val="28"/>
          <w:szCs w:val="28"/>
        </w:rPr>
        <w:t>%；</w:t>
      </w:r>
      <w:r>
        <w:rPr>
          <w:rFonts w:hint="eastAsia" w:ascii="仿宋_GB2312" w:eastAsia="仿宋_GB2312"/>
          <w:sz w:val="28"/>
          <w:szCs w:val="28"/>
          <w:lang w:eastAsia="zh-CN"/>
        </w:rPr>
        <w:t>教育支出</w:t>
      </w:r>
      <w:r>
        <w:rPr>
          <w:rFonts w:hint="eastAsia" w:ascii="仿宋_GB2312" w:eastAsia="仿宋_GB2312"/>
          <w:sz w:val="28"/>
          <w:szCs w:val="28"/>
          <w:lang w:val="en-US" w:eastAsia="zh-CN"/>
        </w:rPr>
        <w:t>25.6万元，占本年财政拨款支出0.98%；</w:t>
      </w:r>
      <w:r>
        <w:rPr>
          <w:rFonts w:hint="eastAsia" w:ascii="仿宋_GB2312" w:eastAsia="仿宋_GB2312"/>
          <w:sz w:val="28"/>
          <w:szCs w:val="28"/>
        </w:rPr>
        <w:t>社会保障和就业支出</w:t>
      </w:r>
      <w:r>
        <w:rPr>
          <w:rFonts w:hint="eastAsia" w:ascii="仿宋_GB2312" w:eastAsia="仿宋_GB2312"/>
          <w:sz w:val="28"/>
          <w:szCs w:val="28"/>
          <w:lang w:val="en-US" w:eastAsia="zh-CN"/>
        </w:rPr>
        <w:t>262.96万元，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10.10</w:t>
      </w:r>
      <w:r>
        <w:rPr>
          <w:rFonts w:hint="eastAsia" w:ascii="仿宋_GB2312" w:eastAsia="仿宋_GB2312"/>
          <w:sz w:val="28"/>
          <w:szCs w:val="28"/>
        </w:rPr>
        <w:t>%；</w:t>
      </w:r>
      <w:r>
        <w:rPr>
          <w:rFonts w:hint="eastAsia" w:ascii="仿宋_GB2312" w:eastAsia="仿宋_GB2312"/>
          <w:sz w:val="28"/>
          <w:szCs w:val="28"/>
          <w:lang w:eastAsia="zh-CN"/>
        </w:rPr>
        <w:t>卫生健康支出</w:t>
      </w:r>
      <w:r>
        <w:rPr>
          <w:rFonts w:hint="eastAsia" w:ascii="仿宋_GB2312" w:eastAsia="仿宋_GB2312"/>
          <w:sz w:val="28"/>
          <w:szCs w:val="28"/>
          <w:lang w:val="en-US" w:eastAsia="zh-CN"/>
        </w:rPr>
        <w:t>139.94万元，占本年财政拨款支出5.38%；</w:t>
      </w:r>
      <w:r>
        <w:rPr>
          <w:rFonts w:hint="eastAsia" w:ascii="仿宋_GB2312" w:eastAsia="仿宋_GB2312"/>
          <w:sz w:val="28"/>
          <w:szCs w:val="28"/>
          <w:highlight w:val="none"/>
          <w:lang w:val="en-US" w:eastAsia="zh-CN"/>
        </w:rPr>
        <w:t>住房保障支出101.5万元，占本年财政拨款支出3.9%</w:t>
      </w:r>
      <w:r>
        <w:rPr>
          <w:rFonts w:hint="eastAsia" w:ascii="仿宋_GB2312" w:eastAsia="仿宋_GB2312"/>
          <w:sz w:val="28"/>
          <w:szCs w:val="28"/>
          <w:highlight w:val="none"/>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1、“一般公共服务支出”（类）202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2062.49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2072.81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101</w:t>
      </w:r>
      <w:r>
        <w:rPr>
          <w:rFonts w:hint="eastAsia" w:ascii="仿宋_GB2312" w:eastAsia="仿宋_GB2312"/>
          <w:sz w:val="28"/>
          <w:szCs w:val="28"/>
        </w:rPr>
        <w:t>%。</w:t>
      </w:r>
    </w:p>
    <w:p>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政协</w:t>
      </w:r>
      <w:r>
        <w:rPr>
          <w:rFonts w:hint="eastAsia" w:ascii="仿宋_GB2312" w:eastAsia="仿宋_GB2312"/>
          <w:sz w:val="28"/>
          <w:szCs w:val="28"/>
        </w:rPr>
        <w:t>事务”202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2062.49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2072.81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101</w:t>
      </w:r>
      <w:r>
        <w:rPr>
          <w:rFonts w:hint="eastAsia" w:ascii="仿宋_GB2312" w:eastAsia="仿宋_GB2312"/>
          <w:sz w:val="28"/>
          <w:szCs w:val="28"/>
        </w:rPr>
        <w:t>%。主要原因：23年受疫情影响，全会缩短会期，采用线上线下结合的方式开展</w:t>
      </w:r>
      <w:r>
        <w:rPr>
          <w:rFonts w:hint="eastAsia" w:ascii="仿宋_GB2312" w:eastAsia="仿宋_GB2312"/>
          <w:sz w:val="28"/>
          <w:szCs w:val="28"/>
          <w:lang w:eastAsia="zh-CN"/>
        </w:rPr>
        <w:t>，未安排住宿</w:t>
      </w:r>
      <w:r>
        <w:rPr>
          <w:rFonts w:hint="eastAsia" w:ascii="仿宋_GB2312" w:eastAsia="仿宋_GB2312"/>
          <w:sz w:val="28"/>
          <w:szCs w:val="28"/>
        </w:rPr>
        <w:t>。本年正常开展会议、视察、考察活动。</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2、“教育支出”202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25.6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25.6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“进修及培训”202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25.6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25.6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%。主要原因：</w:t>
      </w:r>
      <w:r>
        <w:rPr>
          <w:rFonts w:hint="eastAsia" w:ascii="仿宋_GB2312" w:eastAsia="仿宋_GB2312"/>
          <w:sz w:val="28"/>
          <w:szCs w:val="28"/>
          <w:lang w:eastAsia="zh-CN"/>
        </w:rPr>
        <w:t>本年开展委员培训活动，严格按照预算控制支出</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w:t>
      </w:r>
      <w:r>
        <w:rPr>
          <w:rFonts w:hint="eastAsia" w:ascii="仿宋_GB2312" w:eastAsia="仿宋_GB2312"/>
          <w:sz w:val="28"/>
          <w:szCs w:val="28"/>
          <w:highlight w:val="none"/>
        </w:rPr>
        <w:t>社会保障和就业支出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highlight w:val="none"/>
          <w:lang w:val="en-US" w:eastAsia="zh-CN"/>
        </w:rPr>
        <w:t>269.84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highlight w:val="none"/>
          <w:lang w:val="en-US" w:eastAsia="zh-CN"/>
        </w:rPr>
        <w:t>262.96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97</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highlight w:val="none"/>
          <w:lang w:eastAsia="zh-CN"/>
        </w:rPr>
        <w:t>行政事业单位养老支出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highlight w:val="none"/>
          <w:lang w:val="en-US" w:eastAsia="zh-CN"/>
        </w:rPr>
        <w:t>269.84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highlight w:val="none"/>
          <w:lang w:val="en-US" w:eastAsia="zh-CN"/>
        </w:rPr>
        <w:t>262.96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97</w:t>
      </w:r>
      <w:r>
        <w:rPr>
          <w:rFonts w:hint="eastAsia" w:ascii="仿宋_GB2312" w:eastAsia="仿宋_GB2312"/>
          <w:sz w:val="28"/>
          <w:szCs w:val="28"/>
        </w:rPr>
        <w:t>%。主要原因：</w:t>
      </w:r>
      <w:r>
        <w:rPr>
          <w:rFonts w:hint="eastAsia" w:ascii="仿宋_GB2312" w:eastAsia="仿宋_GB2312"/>
          <w:sz w:val="28"/>
          <w:szCs w:val="28"/>
          <w:highlight w:val="none"/>
          <w:lang w:val="en-US" w:eastAsia="zh-CN"/>
        </w:rPr>
        <w:t>本年</w:t>
      </w:r>
      <w:r>
        <w:rPr>
          <w:rFonts w:hint="eastAsia" w:ascii="仿宋_GB2312" w:eastAsia="仿宋_GB2312"/>
          <w:sz w:val="28"/>
          <w:szCs w:val="28"/>
          <w:highlight w:val="none"/>
          <w:lang w:eastAsia="zh-CN"/>
        </w:rPr>
        <w:t>社保缴费基数调整</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w:t>
      </w:r>
      <w:r>
        <w:rPr>
          <w:rFonts w:hint="eastAsia" w:ascii="仿宋_GB2312" w:eastAsia="仿宋_GB2312"/>
          <w:sz w:val="28"/>
          <w:szCs w:val="28"/>
          <w:highlight w:val="none"/>
          <w:lang w:eastAsia="zh-CN"/>
        </w:rPr>
        <w:t>卫生健康支出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highlight w:val="none"/>
          <w:lang w:val="en-US" w:eastAsia="zh-CN"/>
        </w:rPr>
        <w:t>151.97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highlight w:val="none"/>
          <w:lang w:val="en-US" w:eastAsia="zh-CN"/>
        </w:rPr>
        <w:t>139.94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92</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highlight w:val="none"/>
        </w:rPr>
        <w:t>行政事业单位医疗</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highlight w:val="none"/>
          <w:lang w:val="en-US" w:eastAsia="zh-CN"/>
        </w:rPr>
        <w:t>151.97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highlight w:val="none"/>
          <w:lang w:val="en-US" w:eastAsia="zh-CN"/>
        </w:rPr>
        <w:t>139.94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92</w:t>
      </w:r>
      <w:r>
        <w:rPr>
          <w:rFonts w:hint="eastAsia" w:ascii="仿宋_GB2312" w:eastAsia="仿宋_GB2312"/>
          <w:sz w:val="28"/>
          <w:szCs w:val="28"/>
        </w:rPr>
        <w:t>%。主要原因：</w:t>
      </w:r>
      <w:r>
        <w:rPr>
          <w:rFonts w:hint="eastAsia" w:ascii="仿宋_GB2312" w:eastAsia="仿宋_GB2312"/>
          <w:sz w:val="28"/>
          <w:szCs w:val="28"/>
          <w:highlight w:val="none"/>
          <w:lang w:val="en-US" w:eastAsia="zh-CN"/>
        </w:rPr>
        <w:t>本年</w:t>
      </w:r>
      <w:r>
        <w:rPr>
          <w:rFonts w:hint="eastAsia" w:ascii="仿宋_GB2312" w:eastAsia="仿宋_GB2312"/>
          <w:sz w:val="28"/>
          <w:szCs w:val="28"/>
          <w:highlight w:val="none"/>
          <w:lang w:eastAsia="zh-CN"/>
        </w:rPr>
        <w:t>社保缴费基数调整</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5</w:t>
      </w:r>
      <w:r>
        <w:rPr>
          <w:rFonts w:hint="eastAsia" w:ascii="仿宋_GB2312" w:eastAsia="仿宋_GB2312"/>
          <w:sz w:val="28"/>
          <w:szCs w:val="28"/>
        </w:rPr>
        <w:t>、“</w:t>
      </w:r>
      <w:r>
        <w:rPr>
          <w:rFonts w:hint="eastAsia" w:ascii="仿宋_GB2312" w:eastAsia="仿宋_GB2312"/>
          <w:sz w:val="28"/>
          <w:szCs w:val="28"/>
          <w:highlight w:val="none"/>
          <w:lang w:eastAsia="zh-CN"/>
        </w:rPr>
        <w:t>住房保障支出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highlight w:val="none"/>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highlight w:val="none"/>
          <w:lang w:val="en-US" w:eastAsia="zh-CN"/>
        </w:rPr>
        <w:t>101.5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%。其中：</w:t>
      </w:r>
    </w:p>
    <w:p>
      <w:pPr>
        <w:spacing w:line="580" w:lineRule="exact"/>
        <w:ind w:firstLine="560" w:firstLineChars="200"/>
      </w:pPr>
      <w:r>
        <w:rPr>
          <w:rFonts w:hint="eastAsia" w:ascii="仿宋_GB2312" w:eastAsia="仿宋_GB2312"/>
          <w:sz w:val="28"/>
          <w:szCs w:val="28"/>
        </w:rPr>
        <w:t>“</w:t>
      </w:r>
      <w:r>
        <w:rPr>
          <w:rFonts w:hint="eastAsia" w:ascii="仿宋_GB2312" w:eastAsia="仿宋_GB2312"/>
          <w:sz w:val="28"/>
          <w:szCs w:val="28"/>
          <w:highlight w:val="none"/>
        </w:rPr>
        <w:t>住房改革支出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highlight w:val="none"/>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highlight w:val="none"/>
          <w:lang w:val="en-US" w:eastAsia="zh-CN"/>
        </w:rPr>
        <w:t>101.5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%。主要原因：</w:t>
      </w:r>
      <w:r>
        <w:rPr>
          <w:rFonts w:hint="eastAsia" w:ascii="仿宋_GB2312" w:eastAsia="仿宋_GB2312"/>
          <w:sz w:val="28"/>
          <w:szCs w:val="28"/>
          <w:lang w:eastAsia="zh-CN"/>
        </w:rPr>
        <w:t>补发</w:t>
      </w:r>
      <w:r>
        <w:rPr>
          <w:rFonts w:hint="eastAsia" w:ascii="仿宋_GB2312" w:eastAsia="仿宋_GB2312"/>
          <w:sz w:val="28"/>
          <w:szCs w:val="28"/>
          <w:highlight w:val="none"/>
          <w:lang w:eastAsia="zh-CN"/>
        </w:rPr>
        <w:t>一次性住房补贴</w:t>
      </w:r>
      <w:r>
        <w:rPr>
          <w:rFonts w:hint="eastAsia" w:ascii="仿宋_GB2312" w:eastAsia="仿宋_GB2312"/>
          <w:sz w:val="28"/>
          <w:szCs w:val="28"/>
          <w:highlight w:val="none"/>
        </w:rPr>
        <w:t>。</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本部门202</w:t>
      </w:r>
      <w:r>
        <w:rPr>
          <w:rFonts w:hint="eastAsia" w:ascii="仿宋_GB2312" w:eastAsia="仿宋_GB2312"/>
          <w:sz w:val="28"/>
          <w:szCs w:val="28"/>
          <w:lang w:val="en-US" w:eastAsia="zh-CN"/>
        </w:rPr>
        <w:t>4</w:t>
      </w:r>
      <w:r>
        <w:rPr>
          <w:rFonts w:hint="eastAsia" w:ascii="仿宋_GB2312" w:eastAsia="仿宋_GB2312"/>
          <w:sz w:val="28"/>
          <w:szCs w:val="28"/>
        </w:rPr>
        <w:t>年度无政府性基金预算财政拨款安排的支出</w:t>
      </w:r>
      <w:r>
        <w:rPr>
          <w:rFonts w:hint="eastAsia" w:ascii="仿宋_GB2312" w:eastAsia="仿宋_GB2312"/>
          <w:sz w:val="28"/>
          <w:szCs w:val="28"/>
          <w:lang w:eastAsia="zh-CN"/>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2068.94</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8.15</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10.8</w:t>
      </w:r>
      <w:r>
        <w:rPr>
          <w:rFonts w:hint="eastAsia" w:ascii="仿宋_GB2312" w:eastAsia="仿宋_GB2312"/>
          <w:sz w:val="28"/>
          <w:szCs w:val="28"/>
        </w:rPr>
        <w:t>万元减少</w:t>
      </w:r>
      <w:r>
        <w:rPr>
          <w:rFonts w:hint="eastAsia" w:ascii="仿宋_GB2312" w:eastAsia="仿宋_GB2312"/>
          <w:sz w:val="28"/>
          <w:szCs w:val="28"/>
          <w:lang w:val="en-US" w:eastAsia="zh-CN"/>
        </w:rPr>
        <w:t>2.65</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eastAsia="zh-CN"/>
        </w:rPr>
        <w:t>本年未安排此项工作内容</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eastAsia="zh-CN"/>
        </w:rPr>
        <w:t>本年未安排此项工作内容</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8.15</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10.8</w:t>
      </w:r>
      <w:r>
        <w:rPr>
          <w:rFonts w:hint="eastAsia" w:ascii="仿宋_GB2312" w:eastAsia="仿宋_GB2312"/>
          <w:sz w:val="28"/>
          <w:szCs w:val="28"/>
        </w:rPr>
        <w:t>万元减少</w:t>
      </w:r>
      <w:r>
        <w:rPr>
          <w:rFonts w:hint="eastAsia" w:ascii="仿宋_GB2312" w:eastAsia="仿宋_GB2312"/>
          <w:sz w:val="28"/>
          <w:szCs w:val="28"/>
          <w:lang w:val="en-US" w:eastAsia="zh-CN"/>
        </w:rPr>
        <w:t>2.65</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eastAsia="zh-CN"/>
        </w:rPr>
        <w:t>本年度未安排更新购置车辆</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8.15</w:t>
      </w:r>
      <w:r>
        <w:rPr>
          <w:rFonts w:hint="eastAsia" w:ascii="仿宋_GB2312" w:eastAsia="仿宋_GB2312"/>
          <w:sz w:val="28"/>
          <w:szCs w:val="28"/>
        </w:rPr>
        <w:t>万元，主要原因：</w:t>
      </w:r>
      <w:r>
        <w:rPr>
          <w:rFonts w:hint="eastAsia" w:ascii="仿宋_GB2312" w:eastAsia="仿宋_GB2312"/>
          <w:sz w:val="28"/>
          <w:szCs w:val="28"/>
          <w:lang w:eastAsia="zh-CN"/>
        </w:rPr>
        <w:t>落实政府过紧日子要求，</w:t>
      </w:r>
      <w:r>
        <w:rPr>
          <w:rFonts w:hint="eastAsia" w:ascii="仿宋_GB2312" w:eastAsia="仿宋_GB2312"/>
          <w:sz w:val="28"/>
          <w:szCs w:val="28"/>
        </w:rPr>
        <w:t>厉行</w:t>
      </w:r>
      <w:r>
        <w:rPr>
          <w:rFonts w:hint="eastAsia" w:ascii="仿宋_GB2312" w:eastAsia="仿宋_GB2312"/>
          <w:sz w:val="28"/>
          <w:szCs w:val="28"/>
          <w:lang w:eastAsia="zh-CN"/>
        </w:rPr>
        <w:t>勤俭</w:t>
      </w:r>
      <w:r>
        <w:rPr>
          <w:rFonts w:hint="eastAsia" w:ascii="仿宋_GB2312" w:eastAsia="仿宋_GB2312"/>
          <w:sz w:val="28"/>
          <w:szCs w:val="28"/>
        </w:rPr>
        <w:t>节约</w:t>
      </w:r>
      <w:r>
        <w:rPr>
          <w:rFonts w:hint="eastAsia" w:ascii="仿宋_GB2312" w:eastAsia="仿宋_GB2312"/>
          <w:sz w:val="28"/>
          <w:szCs w:val="28"/>
          <w:lang w:eastAsia="zh-CN"/>
        </w:rPr>
        <w:t>，</w:t>
      </w:r>
      <w:r>
        <w:rPr>
          <w:rFonts w:hint="eastAsia" w:ascii="仿宋_GB2312" w:eastAsia="仿宋_GB2312"/>
          <w:sz w:val="28"/>
          <w:szCs w:val="28"/>
        </w:rPr>
        <w:t>严格控制公务车辆运行支出。202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6</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143.08</w:t>
      </w:r>
      <w:r>
        <w:rPr>
          <w:rFonts w:hint="eastAsia" w:ascii="仿宋_GB2312" w:eastAsia="仿宋_GB2312"/>
          <w:sz w:val="28"/>
          <w:szCs w:val="28"/>
        </w:rPr>
        <w:t>万元，比上年增加</w:t>
      </w:r>
      <w:r>
        <w:rPr>
          <w:rFonts w:hint="eastAsia" w:ascii="仿宋_GB2312" w:eastAsia="仿宋_GB2312"/>
          <w:sz w:val="28"/>
          <w:szCs w:val="28"/>
          <w:lang w:val="en-US" w:eastAsia="zh-CN"/>
        </w:rPr>
        <w:t>57.41</w:t>
      </w:r>
      <w:r>
        <w:rPr>
          <w:rFonts w:hint="eastAsia" w:ascii="仿宋_GB2312" w:eastAsia="仿宋_GB2312"/>
          <w:sz w:val="28"/>
          <w:szCs w:val="28"/>
        </w:rPr>
        <w:t>万元，增加原因：</w:t>
      </w:r>
      <w:r>
        <w:rPr>
          <w:rFonts w:hint="eastAsia" w:ascii="仿宋_GB2312" w:eastAsia="仿宋_GB2312"/>
          <w:sz w:val="28"/>
          <w:szCs w:val="28"/>
          <w:lang w:eastAsia="zh-CN"/>
        </w:rPr>
        <w:t>上年未将其他交通费用纳入统计范围</w:t>
      </w:r>
      <w:r>
        <w:rPr>
          <w:rFonts w:hint="eastAsia" w:ascii="仿宋_GB2312" w:eastAsia="仿宋_GB2312"/>
          <w:sz w:val="28"/>
          <w:szCs w:val="28"/>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33.24</w:t>
      </w:r>
      <w:r>
        <w:rPr>
          <w:rFonts w:hint="eastAsia" w:ascii="仿宋_GB2312" w:eastAsia="仿宋_GB2312"/>
          <w:sz w:val="28"/>
          <w:szCs w:val="28"/>
        </w:rPr>
        <w:t>万元，其中：政府采购货物支出</w:t>
      </w:r>
      <w:r>
        <w:rPr>
          <w:rFonts w:hint="eastAsia" w:ascii="仿宋_GB2312" w:eastAsia="仿宋_GB2312"/>
          <w:sz w:val="28"/>
          <w:szCs w:val="28"/>
          <w:highlight w:val="none"/>
          <w:lang w:val="en-US" w:eastAsia="zh-CN"/>
        </w:rPr>
        <w:t>2.25</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highlight w:val="none"/>
          <w:lang w:val="en-US" w:eastAsia="zh-CN"/>
        </w:rPr>
        <w:t>30.99</w:t>
      </w:r>
      <w:r>
        <w:rPr>
          <w:rFonts w:hint="eastAsia" w:ascii="仿宋_GB2312" w:eastAsia="仿宋_GB2312"/>
          <w:sz w:val="28"/>
          <w:szCs w:val="28"/>
        </w:rPr>
        <w:t>万元。授予中小企业合同金额</w:t>
      </w:r>
      <w:r>
        <w:rPr>
          <w:rFonts w:ascii="仿宋_GB2312" w:eastAsia="仿宋_GB2312"/>
          <w:sz w:val="28"/>
          <w:szCs w:val="28"/>
        </w:rPr>
        <w:t>28.59</w:t>
      </w:r>
      <w:r>
        <w:rPr>
          <w:rFonts w:hint="eastAsia" w:ascii="仿宋_GB2312" w:eastAsia="仿宋_GB2312"/>
          <w:sz w:val="28"/>
          <w:szCs w:val="28"/>
        </w:rPr>
        <w:t>万元，占政府采购支出总额的</w:t>
      </w:r>
      <w:r>
        <w:rPr>
          <w:rFonts w:hint="eastAsia" w:ascii="仿宋_GB2312" w:eastAsia="仿宋_GB2312"/>
          <w:sz w:val="28"/>
          <w:szCs w:val="28"/>
          <w:lang w:eastAsia="zh-CN"/>
        </w:rPr>
        <w:t>86</w:t>
      </w:r>
      <w:r>
        <w:rPr>
          <w:rFonts w:hint="eastAsia" w:ascii="仿宋_GB2312" w:eastAsia="仿宋_GB2312"/>
          <w:sz w:val="28"/>
          <w:szCs w:val="28"/>
        </w:rPr>
        <w:t>%，其中：授予小微企业合同金额</w:t>
      </w:r>
      <w:r>
        <w:rPr>
          <w:rFonts w:ascii="仿宋_GB2312" w:eastAsia="仿宋_GB2312"/>
          <w:sz w:val="28"/>
          <w:szCs w:val="28"/>
        </w:rPr>
        <w:t>22.79</w:t>
      </w:r>
      <w:r>
        <w:rPr>
          <w:rFonts w:hint="eastAsia" w:ascii="仿宋_GB2312" w:eastAsia="仿宋_GB2312"/>
          <w:sz w:val="28"/>
          <w:szCs w:val="28"/>
        </w:rPr>
        <w:t>万元，占政府采购支出总额的</w:t>
      </w:r>
      <w:r>
        <w:rPr>
          <w:rFonts w:ascii="仿宋_GB2312" w:eastAsia="仿宋_GB2312"/>
          <w:sz w:val="28"/>
          <w:szCs w:val="28"/>
        </w:rPr>
        <w:t>68.55</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12月31日，中国人民政治协商会议北京市大兴区委员会</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6</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rPr>
        <w:t xml:space="preserve">7. </w:t>
      </w:r>
      <w:r>
        <w:rPr>
          <w:rFonts w:hint="eastAsia" w:ascii="仿宋_GB2312" w:eastAsia="仿宋_GB2312"/>
          <w:sz w:val="28"/>
          <w:szCs w:val="28"/>
          <w:highlight w:val="none"/>
          <w:lang w:val="en-US" w:eastAsia="zh-CN"/>
        </w:rPr>
        <w:t>一般公共服务支出（类）政协事务（款）行政运行（项）：反映行政单位（包括实行公务员管理的事业单位）的基本支出。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8.一般公共服务支出（类）政协事务（款）政协会议（项）：反映各级政协召开政治协商会议等专门会议的支出。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9.一般公共服务支出（类）政协事务（款）委员视察（项）：反映政协委员开展各类视察的支出。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10.一般公共服务支出（类）政协事务（款）事业运行（项）：反映事业单位的基本支出，不包括行政单位（包括实行公务员管的事业单位）后勤服务中心、医务室等附属事业单位。</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11.一般公共服务支出（类）政协事务（款）其他政协事务支出（项）：反映除上述项目以外的其他政协事务支出。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12.教育支出（类）进修及培训（款）培训支出（项）：反映各部门安排的用于培训的支出。教育部门的师资培训，党校、行政学院等专业干部教育机构的支出，以及退役士兵、转业士官的培训支出，不在本科目反映。</w:t>
      </w:r>
    </w:p>
    <w:p>
      <w:pPr>
        <w:ind w:firstLine="420" w:firstLineChars="150"/>
        <w:rPr>
          <w:rFonts w:hint="eastAsia" w:ascii="仿宋_GB2312" w:eastAsia="仿宋_GB2312"/>
          <w:sz w:val="28"/>
          <w:szCs w:val="28"/>
        </w:rPr>
      </w:pPr>
      <w:r>
        <w:rPr>
          <w:rFonts w:hint="eastAsia" w:ascii="仿宋_GB2312" w:eastAsia="仿宋_GB2312"/>
          <w:sz w:val="28"/>
          <w:szCs w:val="28"/>
          <w:highlight w:val="none"/>
          <w:lang w:val="en-US" w:eastAsia="zh-CN"/>
        </w:rPr>
        <w:t>13.</w:t>
      </w:r>
      <w:r>
        <w:rPr>
          <w:rFonts w:hint="eastAsia" w:ascii="仿宋_GB2312" w:eastAsia="仿宋_GB2312"/>
          <w:sz w:val="28"/>
          <w:szCs w:val="28"/>
        </w:rPr>
        <w:t>社会保障和就业支出（类）行政事业单位养老支出（款）行政单位离退休（项）：反映用于行政单位（包括实行公务员管理的事业单位）开支的离退休经费。</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val="en-US" w:eastAsia="zh-CN"/>
        </w:rPr>
        <w:t>14.</w:t>
      </w: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机关事业单位基本养老保险缴费支出</w:t>
      </w:r>
      <w:r>
        <w:rPr>
          <w:rFonts w:hint="eastAsia" w:ascii="仿宋_GB2312" w:eastAsia="仿宋_GB2312"/>
          <w:sz w:val="28"/>
          <w:szCs w:val="28"/>
        </w:rPr>
        <w:t>（项）：反映</w:t>
      </w:r>
      <w:r>
        <w:rPr>
          <w:rFonts w:hint="eastAsia" w:ascii="仿宋_GB2312" w:eastAsia="仿宋_GB2312"/>
          <w:sz w:val="28"/>
          <w:szCs w:val="28"/>
          <w:lang w:eastAsia="zh-CN"/>
        </w:rPr>
        <w:t>机关事业单位实施养老保险制度由单位缴纳的基本养老保险费支出。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val="en-US" w:eastAsia="zh-CN"/>
        </w:rPr>
        <w:t>15.</w:t>
      </w: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机关事业单位职业年金缴费支出</w:t>
      </w:r>
      <w:r>
        <w:rPr>
          <w:rFonts w:hint="eastAsia" w:ascii="仿宋_GB2312" w:eastAsia="仿宋_GB2312"/>
          <w:sz w:val="28"/>
          <w:szCs w:val="28"/>
        </w:rPr>
        <w:t>（项）：</w:t>
      </w:r>
      <w:r>
        <w:rPr>
          <w:rFonts w:hint="eastAsia" w:ascii="仿宋_GB2312" w:eastAsia="仿宋_GB2312"/>
          <w:sz w:val="28"/>
          <w:szCs w:val="28"/>
          <w:lang w:eastAsia="zh-CN"/>
        </w:rPr>
        <w:t>反映机关事业单位实施养老保险制度由单位实际缴纳的职业年金支出。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val="en-US" w:eastAsia="zh-CN"/>
        </w:rPr>
        <w:t>16.</w:t>
      </w: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其他行政事业单位养老支出</w:t>
      </w:r>
      <w:r>
        <w:rPr>
          <w:rFonts w:hint="eastAsia" w:ascii="仿宋_GB2312" w:eastAsia="仿宋_GB2312"/>
          <w:sz w:val="28"/>
          <w:szCs w:val="28"/>
        </w:rPr>
        <w:t>（项）：</w:t>
      </w:r>
      <w:r>
        <w:rPr>
          <w:rFonts w:hint="eastAsia" w:ascii="仿宋_GB2312" w:eastAsia="仿宋_GB2312"/>
          <w:sz w:val="28"/>
          <w:szCs w:val="28"/>
          <w:lang w:eastAsia="zh-CN"/>
        </w:rPr>
        <w:t>反映除上述项目以外其他用于行政事业单位养老方面的支出。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17.卫生健康支出（类）行政事业单位医疗（款）行政单位医疗（项）：反映财政部门安排的行政单位（包括实行公务员管理的事业单位，下同）基本医疗保险缴费经费，未参加医疗保险的行政单位公费医疗经费，按国家规定享受离休人员、红军老战士待遇人员的医疗经费。</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18.卫生健康支出（类）行政事业单位医疗（款）事业单位医疗（项）：反映财政部门安排的事业单位基本医疗保险缴费经费，未参加医疗保险的事业单位的公费医疗经费，按国家规定享受离休人员待遇的医疗经费。</w:t>
      </w: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19.卫生健康支出（类）行政事业单位医疗（款）公务员医疗补助（项）：反映财政部门安排的公务员医疗补助经费</w:t>
      </w: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20.住房保障支出（类）住房改革支出（款）购房补贴：反映按房改政策规定，行政事业单位向符合条件职工（含离退休人员）、军队（含武警）向转役复原离退休人员发放的用于购买住房的补贴。</w:t>
      </w:r>
    </w:p>
    <w:p>
      <w:pPr>
        <w:numPr>
          <w:ilvl w:val="0"/>
          <w:numId w:val="0"/>
        </w:numPr>
        <w:ind w:firstLine="560" w:firstLineChars="200"/>
        <w:rPr>
          <w:rFonts w:hint="eastAsia" w:ascii="仿宋_GB2312" w:eastAsia="仿宋_GB2312"/>
          <w:sz w:val="28"/>
          <w:szCs w:val="28"/>
          <w:lang w:val="en-US" w:eastAsia="zh-CN"/>
        </w:rPr>
      </w:pPr>
    </w:p>
    <w:p>
      <w:pPr>
        <w:jc w:val="both"/>
        <w:rPr>
          <w:rFonts w:hint="eastAsia" w:ascii="黑体" w:eastAsia="黑体"/>
          <w:sz w:val="32"/>
          <w:szCs w:val="32"/>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1"/>
        </w:numPr>
        <w:ind w:firstLine="560" w:firstLineChars="200"/>
        <w:rPr>
          <w:rFonts w:hint="eastAsia" w:ascii="黑体" w:eastAsia="黑体"/>
          <w:sz w:val="28"/>
          <w:szCs w:val="28"/>
          <w:highlight w:val="none"/>
          <w:lang w:eastAsia="zh-CN"/>
        </w:rPr>
      </w:pPr>
      <w:r>
        <w:rPr>
          <w:rFonts w:hint="eastAsia" w:ascii="黑体" w:eastAsia="黑体"/>
          <w:sz w:val="28"/>
          <w:szCs w:val="28"/>
          <w:highlight w:val="none"/>
        </w:rPr>
        <w:t>部门整体绩效评价报告</w:t>
      </w:r>
      <w:r>
        <w:rPr>
          <w:rFonts w:hint="eastAsia" w:ascii="黑体" w:eastAsia="黑体"/>
          <w:sz w:val="28"/>
          <w:szCs w:val="28"/>
          <w:highlight w:val="none"/>
          <w:lang w:eastAsia="zh-CN"/>
        </w:rPr>
        <w:t>（详见附件）</w:t>
      </w:r>
    </w:p>
    <w:p>
      <w:pPr>
        <w:numPr>
          <w:ilvl w:val="0"/>
          <w:numId w:val="1"/>
        </w:numPr>
        <w:ind w:firstLine="560" w:firstLineChars="200"/>
        <w:rPr>
          <w:rFonts w:hint="eastAsia" w:ascii="黑体" w:eastAsia="黑体"/>
          <w:sz w:val="28"/>
          <w:szCs w:val="28"/>
          <w:highlight w:val="none"/>
          <w:lang w:eastAsia="zh-CN"/>
        </w:rPr>
      </w:pPr>
      <w:r>
        <w:rPr>
          <w:rFonts w:hint="eastAsia" w:ascii="黑体" w:eastAsia="黑体"/>
          <w:sz w:val="28"/>
          <w:szCs w:val="28"/>
          <w:highlight w:val="none"/>
        </w:rPr>
        <w:t>项目支出</w:t>
      </w:r>
      <w:r>
        <w:rPr>
          <w:rFonts w:hint="eastAsia" w:ascii="黑体" w:eastAsia="黑体"/>
          <w:sz w:val="28"/>
          <w:szCs w:val="28"/>
          <w:highlight w:val="none"/>
          <w:lang w:val="en-US" w:eastAsia="zh-CN"/>
        </w:rPr>
        <w:t>部门</w:t>
      </w:r>
      <w:r>
        <w:rPr>
          <w:rFonts w:hint="eastAsia" w:ascii="黑体" w:eastAsia="黑体"/>
          <w:sz w:val="28"/>
          <w:szCs w:val="28"/>
          <w:highlight w:val="none"/>
        </w:rPr>
        <w:t>绩效评价报告</w:t>
      </w:r>
      <w:r>
        <w:rPr>
          <w:rFonts w:hint="eastAsia" w:ascii="黑体" w:eastAsia="黑体"/>
          <w:sz w:val="28"/>
          <w:szCs w:val="28"/>
          <w:highlight w:val="none"/>
          <w:lang w:eastAsia="zh-CN"/>
        </w:rPr>
        <w:t>（详见附件）</w:t>
      </w:r>
    </w:p>
    <w:p>
      <w:pPr>
        <w:numPr>
          <w:ilvl w:val="0"/>
          <w:numId w:val="1"/>
        </w:numPr>
        <w:ind w:firstLine="560" w:firstLineChars="200"/>
        <w:rPr>
          <w:rFonts w:hint="eastAsia" w:ascii="黑体" w:eastAsia="黑体"/>
          <w:sz w:val="28"/>
          <w:szCs w:val="28"/>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Arial Unicode MS"/>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3</w:t>
    </w:r>
    <w: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5</w:t>
    </w:r>
    <w:r>
      <w:fldChar w:fldCharType="end"/>
    </w: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15</w:t>
    </w:r>
    <w: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BE307F"/>
    <w:rsid w:val="0DD136FE"/>
    <w:rsid w:val="0F542F2C"/>
    <w:rsid w:val="0F8E2C57"/>
    <w:rsid w:val="1059665E"/>
    <w:rsid w:val="10AC13BA"/>
    <w:rsid w:val="145A6C1B"/>
    <w:rsid w:val="14B73493"/>
    <w:rsid w:val="167A2FF9"/>
    <w:rsid w:val="1764587C"/>
    <w:rsid w:val="18450F3F"/>
    <w:rsid w:val="18581C69"/>
    <w:rsid w:val="1A034F6A"/>
    <w:rsid w:val="1AEC0734"/>
    <w:rsid w:val="1DEF20B0"/>
    <w:rsid w:val="1EC52F49"/>
    <w:rsid w:val="1FF7AB17"/>
    <w:rsid w:val="214243FA"/>
    <w:rsid w:val="21AD613C"/>
    <w:rsid w:val="22467189"/>
    <w:rsid w:val="257A14F5"/>
    <w:rsid w:val="26963B64"/>
    <w:rsid w:val="27196C26"/>
    <w:rsid w:val="285F70A4"/>
    <w:rsid w:val="29AB5064"/>
    <w:rsid w:val="29EF086F"/>
    <w:rsid w:val="2BC34C59"/>
    <w:rsid w:val="2EFFE297"/>
    <w:rsid w:val="301437CA"/>
    <w:rsid w:val="349D1F0A"/>
    <w:rsid w:val="34DD0473"/>
    <w:rsid w:val="3A510517"/>
    <w:rsid w:val="3A8E35DC"/>
    <w:rsid w:val="3C684897"/>
    <w:rsid w:val="433E495C"/>
    <w:rsid w:val="44C02277"/>
    <w:rsid w:val="489F2FD7"/>
    <w:rsid w:val="4AC27CB3"/>
    <w:rsid w:val="4BF72BEF"/>
    <w:rsid w:val="4FA90297"/>
    <w:rsid w:val="4FC41A43"/>
    <w:rsid w:val="51DB3C59"/>
    <w:rsid w:val="550C0952"/>
    <w:rsid w:val="55362239"/>
    <w:rsid w:val="55762E42"/>
    <w:rsid w:val="57A7B272"/>
    <w:rsid w:val="58470068"/>
    <w:rsid w:val="58747CAC"/>
    <w:rsid w:val="59EE2568"/>
    <w:rsid w:val="5A1720F9"/>
    <w:rsid w:val="5B9C37C2"/>
    <w:rsid w:val="5BA7C654"/>
    <w:rsid w:val="5DF716AE"/>
    <w:rsid w:val="5F9F507E"/>
    <w:rsid w:val="60A54109"/>
    <w:rsid w:val="61D01CDF"/>
    <w:rsid w:val="64C0607C"/>
    <w:rsid w:val="65756C86"/>
    <w:rsid w:val="674D385B"/>
    <w:rsid w:val="676F09E1"/>
    <w:rsid w:val="6C21111D"/>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paragraph" w:styleId="3">
    <w:name w:val="heading 4"/>
    <w:basedOn w:val="1"/>
    <w:next w:val="1"/>
    <w:qFormat/>
    <w:uiPriority w:val="0"/>
    <w:pPr>
      <w:spacing w:before="280" w:after="290" w:line="376" w:lineRule="auto"/>
      <w:outlineLvl w:val="3"/>
    </w:pPr>
    <w:rPr>
      <w:rFonts w:ascii="Arial" w:hAnsi="Arial" w:eastAsia="黑体"/>
      <w:b/>
      <w:bCs/>
      <w:sz w:val="28"/>
      <w:szCs w:val="28"/>
    </w:rPr>
  </w:style>
  <w:style w:type="character" w:default="1" w:styleId="12">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4">
    <w:name w:val="Normal Indent"/>
    <w:basedOn w:val="1"/>
    <w:qFormat/>
    <w:uiPriority w:val="0"/>
    <w:pPr>
      <w:ind w:firstLine="200" w:firstLineChars="200"/>
    </w:pPr>
  </w:style>
  <w:style w:type="paragraph" w:styleId="5">
    <w:name w:val="Body Text Indent"/>
    <w:basedOn w:val="1"/>
    <w:qFormat/>
    <w:uiPriority w:val="0"/>
    <w:pPr>
      <w:ind w:firstLine="645"/>
    </w:pPr>
    <w:rPr>
      <w:rFonts w:ascii="仿宋_GB2312" w:hAnsi="Calibri" w:eastAsia="仿宋_GB2312"/>
      <w:sz w:val="32"/>
      <w:szCs w:val="32"/>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link w:val="15"/>
    <w:qFormat/>
    <w:uiPriority w:val="0"/>
    <w:pPr>
      <w:tabs>
        <w:tab w:val="center" w:pos="4153"/>
        <w:tab w:val="right" w:pos="8306"/>
      </w:tabs>
      <w:snapToGrid w:val="0"/>
      <w:jc w:val="left"/>
    </w:pPr>
    <w:rPr>
      <w:sz w:val="18"/>
      <w:szCs w:val="18"/>
    </w:rPr>
  </w:style>
  <w:style w:type="paragraph" w:styleId="9">
    <w:name w:val="header"/>
    <w:basedOn w:val="1"/>
    <w:link w:val="16"/>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character" w:styleId="13">
    <w:name w:val="Strong"/>
    <w:qFormat/>
    <w:uiPriority w:val="0"/>
    <w:rPr>
      <w:b/>
    </w:rPr>
  </w:style>
  <w:style w:type="character" w:styleId="14">
    <w:name w:val="page number"/>
    <w:qFormat/>
    <w:uiPriority w:val="0"/>
  </w:style>
  <w:style w:type="character" w:customStyle="1" w:styleId="15">
    <w:name w:val="页脚 Char"/>
    <w:link w:val="8"/>
    <w:qFormat/>
    <w:uiPriority w:val="0"/>
    <w:rPr>
      <w:rFonts w:eastAsia="宋体"/>
      <w:kern w:val="2"/>
      <w:sz w:val="18"/>
      <w:szCs w:val="18"/>
      <w:lang w:val="en-US" w:eastAsia="zh-CN" w:bidi="ar-SA"/>
    </w:rPr>
  </w:style>
  <w:style w:type="character" w:customStyle="1" w:styleId="16">
    <w:name w:val="页眉 Char"/>
    <w:link w:val="9"/>
    <w:qFormat/>
    <w:uiPriority w:val="0"/>
    <w:rPr>
      <w:rFonts w:ascii="Calibri" w:hAnsi="Calibri" w:eastAsia="宋体"/>
      <w:kern w:val="2"/>
      <w:sz w:val="18"/>
      <w:szCs w:val="18"/>
      <w:lang w:val="en-US" w:eastAsia="zh-CN" w:bidi="ar-SA"/>
    </w:rPr>
  </w:style>
  <w:style w:type="paragraph" w:customStyle="1" w:styleId="17">
    <w:name w:val="Char Char Char Char Char Char Char"/>
    <w:basedOn w:val="1"/>
    <w:qFormat/>
    <w:uiPriority w:val="0"/>
    <w:rPr>
      <w:rFonts w:ascii="Tahoma" w:hAnsi="Tahoma"/>
      <w:sz w:val="24"/>
      <w:szCs w:val="20"/>
    </w:rPr>
  </w:style>
  <w:style w:type="paragraph" w:customStyle="1" w:styleId="18">
    <w:name w:val="Char1 Char Char Char"/>
    <w:basedOn w:val="1"/>
    <w:qFormat/>
    <w:uiPriority w:val="0"/>
    <w:pPr>
      <w:widowControl/>
      <w:spacing w:after="160" w:line="240" w:lineRule="exact"/>
      <w:jc w:val="left"/>
    </w:pPr>
    <w:rPr>
      <w:szCs w:val="20"/>
    </w:rPr>
  </w:style>
  <w:style w:type="paragraph" w:customStyle="1" w:styleId="19">
    <w:name w:val="Char"/>
    <w:basedOn w:val="1"/>
    <w:qFormat/>
    <w:uiPriority w:val="0"/>
    <w:rPr>
      <w:rFonts w:ascii="Tahoma" w:hAnsi="Tahoma"/>
      <w:sz w:val="24"/>
      <w:szCs w:val="20"/>
    </w:rPr>
  </w:style>
  <w:style w:type="paragraph" w:customStyle="1" w:styleId="20">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2501.31</c:v>
                </c:pt>
                <c:pt idx="1">
                  <c:v>0</c:v>
                </c:pt>
                <c:pt idx="2">
                  <c:v>0</c:v>
                </c:pt>
                <c:pt idx="3">
                  <c:v>0</c:v>
                </c:pt>
                <c:pt idx="4">
                  <c:v>0</c:v>
                </c:pt>
                <c:pt idx="5">
                  <c:v>0.6</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2068.94</c:v>
                </c:pt>
                <c:pt idx="1">
                  <c:v>540.82</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TotalTime>0</TotalTime>
  <ScaleCrop>false</ScaleCrop>
  <LinksUpToDate>false</LinksUpToDate>
  <CharactersWithSpaces>298</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123</cp:lastModifiedBy>
  <cp:lastPrinted>2020-08-09T03:39:00Z</cp:lastPrinted>
  <dcterms:modified xsi:type="dcterms:W3CDTF">2025-09-26T09:07:30Z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